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Обеспечение доступности ОУ и образовательных услуг обучающимся, в том числе приспособленности  для использования инвалидами и лицами с ограниченными возможностями здоровья.</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МОУ «СОШ № 2» обеспечено создание инвалидам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следующих условий доступности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возможность беспрепятственного входа в школу и выхода из неё;</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возможность самостоятельного передвижения по территории школы в целях доступа к месту предоставления услуги, в том числе с помощью работников школы, предоставляющих услуги, ассистивных и вспомогательных технологий, а также сменного кресла-коляски;</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возможность посадки в транспортное средство и высадки из него перед входом в школу, в том числе с использованием кресла-коляски и при необходимости с помощью работников школы;</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сопровождение инвалидов, имеющих стойкие нарушения функции зрения и возможность самостоятельного передвижения по территории школы;</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инвалиду при входе в школу и выходе из неё, информирование инвалида о доступных маршрутах общественного транспорта;</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ж)</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допуска на территорию школы, где предоставляются услуги собаки-проводника при наличии документа, подтверждающего ее специальное обучение.</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Доступность образовательных услуг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 4 Порядка N 1309)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при входе в школу вывески с названием организации, графиком работы организации;</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предоставление инвалидам по слуху при необходимости услуги с использованием русского жестового языка, включая обеспечение допуска в школу сурдопереводчика, тифлопереводчика;</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в одном из помещений, предназначенных для проведения массовых мероприятий, звукоусиливающей аппаратуры;</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адаптация официального сайта школы, для лиц с нарушением зрения (слабовидящих);</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предоставления услуг тьютора, на основании соответствующей рекомендации в заключении психолого-медико-педагогической комиссии или индивидуальной программе реабилитации инвалида;</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ж)</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предоставление бесплатно учебников и учебных пособий, иной учебной литературы, а также специальных технических средств обучения коллективного и индивидуального пользования;</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оказание работниками школы иной необходимой инвалидам помощи в преодолении барьеров, мешающих получению услуг в сфере образования и использованию объекта наравне с другими лицами.</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Школа занимает типовое здание, имеет централизованное водоснабжение, канализацию и отопление. Материальная–техническая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 Ежегодно проводится косметический ремонт помещений. Учебные кабинеты отвечают современным требованиям. Практически все кабинеты оснащены интерактивными досками и мультимедийными проекторами.</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Приобретено новое оборудование для спортивных площадок. Оснащённая лыжная база школы позволяет полноценно проводить занятия по лыжной подготовке. Реализуются совместные спортивные проекты с обществом инвалидов. Для лучшей адаптации детей с ОВЗ 1 и 2 классов выделен отдельный блок с игровой и туалетной комнатами.  В школе имеются 2 кабинета технологии и 2 кабинета информатики, оснащённые современным оборудованием. В кабинете информатики оборудовано рабочее место для дистанционного обучения. Кабинеты химии и физики имеют отдельные лаборантские. Оборудован кабинет ОБЖ, являющийся базовым для подготовки допризывной молодёжи Кондопожского района. Выделены отдельные кабинеты для дополнительных специалистов: логопеда, психолога и социального педагога. Для полноценной работы учителей созданы два методических кабинета.  Просторные холлы на 1 этаже школы оборудованы под зоны отдыха, в них  имеются зелёные уголки, теннисный стол и телевизор. В школе есть концертный зал на 120 мест с необходимым оборудованием для проведения мероприятий. Библиотека имеет два помещения для организации места для чтения и размещения учебно-методической и художественной литературы.  В школе оборудованы два гардеробных помещения для обучающихся и учителей,  комната для техперсонала.</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Сведения о материально-технической базе учреждения</w:t>
      </w:r>
      <w:r w:rsidDel="00000000" w:rsidR="00000000" w:rsidRPr="00000000">
        <w:rPr>
          <w:rtl w:val="0"/>
        </w:rPr>
      </w:r>
    </w:p>
    <w:tbl>
      <w:tblPr>
        <w:tblStyle w:val="Table1"/>
        <w:tblW w:w="10394.0" w:type="dxa"/>
        <w:jc w:val="left"/>
        <w:tblInd w:w="-459.0" w:type="dxa"/>
        <w:tblLayout w:type="fixed"/>
        <w:tblLook w:val="0000"/>
      </w:tblPr>
      <w:tblGrid>
        <w:gridCol w:w="8784"/>
        <w:gridCol w:w="1610"/>
        <w:tblGridChange w:id="0">
          <w:tblGrid>
            <w:gridCol w:w="8784"/>
            <w:gridCol w:w="1610"/>
          </w:tblGrid>
        </w:tblGridChange>
      </w:tblGrid>
      <w:tr>
        <w:trPr>
          <w:trHeight w:val="500" w:hRule="atLeast"/>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w:t>
            </w:r>
          </w:p>
        </w:tc>
      </w:tr>
      <w:tr>
        <w:trPr>
          <w:trHeight w:val="300" w:hRule="atLeast"/>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Число зданий и сооружений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площадь всех помещений (м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3420</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классных комнат (включая учебные кабинеты и лаборатории)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Их площадь (м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1464</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мастерских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  столовая с горячим питанием</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посадочных мест в столовой (мест)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обучающихся, пользующихся горячим питанием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 (88%)</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обучающихся, имеющих льготное обеспечение горячим питанием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 (25%)</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Учреждение имеет пожарную сигнализацию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Учреждение имеет дымовые извещатели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Учреждение имеет кнопку экстренного вызова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Учреждение имеет пожарные краны и рукава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ffffff" w:val="clea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огнетушителей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r>
    </w:tb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2295"/>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безопасности ОУ организовано круглосуточное дежурство сторожей и дневной дежурной.</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обеспечиваются условия безопасности функционирования:     </w:t>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567"/>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отсутствуют  чрезвычайные ситуации (пожары, нарушения в системе жизнеобеспечения);</w:t>
      </w:r>
    </w:p>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установлена автоматическая система охранно-пожарной сигнализации;</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установлена система автоматического закрывания дверей (дверные доводчики);</w:t>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серьезных случаев травматизма детей, связанных с условиями пребывания детей в образовательном учреждении;</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снижается число замечаний, содержащихся в предписаниях органов санэпиднадзора и противопожарной службы.</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 столовая на 120 посадочных мест; оснащенность пищеблока оборудованием и столовой  мебелью составляет 100%. Фирма, осуществляющая питание обучающихся, определяется на конкурсной основе.</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Оборудованы и лицензированы медицинский и процедурный кабинеты.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эффективного информационного обеспечения реализации ООП в образовательном учреждении сформирована информационная среда (ИС) образовательного учреждения.</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Проведены работы по созданию единой локальной сети в школе и зон Wi-Fi.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осуществления контроля за используемой информацией, существует система контентной фильтрации информации. Оператор «Ситилинк» обеспечивает фильтрацию контента, ограничивает доступ школьников к сайтам с нелегальным и «взрослым» содержанием. Использовать Wi-Fi обучающиеся могут только для поиска полезной информации,  необходимой в учебном процессе.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1 сентября 2015 года закончен проект по внедрению в школе  Дневник.ру. Это позволило получить доступ к передовым технологиям автоматизации учебного процесса, инструментам онлайн - образования и современным способам общения с родителями.</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имеется два компьютерных класса оснащённых: 27 компьютерами, 2 принтерами, мультимедиа проектором. Все рабочие места учителей оснащены компьютерным оборудованием.</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 компьютеры в школе объединены в локальную сеть. Выход в Интернет организован через все  ПК в школе. </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Информация по подключению к сети Интернет в 2015-16уч. г.</w:t>
      </w:r>
    </w:p>
    <w:tbl>
      <w:tblPr>
        <w:tblStyle w:val="Table2"/>
        <w:tblW w:w="97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1597"/>
        <w:gridCol w:w="2883"/>
        <w:gridCol w:w="1931"/>
        <w:gridCol w:w="1597"/>
        <w:tblGridChange w:id="0">
          <w:tblGrid>
            <w:gridCol w:w="1750"/>
            <w:gridCol w:w="1597"/>
            <w:gridCol w:w="2883"/>
            <w:gridCol w:w="1931"/>
            <w:gridCol w:w="1597"/>
          </w:tblGrid>
        </w:tblGridChange>
      </w:tblGrid>
      <w:tr>
        <w:trPr>
          <w:trHeight w:val="480" w:hRule="atLeast"/>
        </w:trPr>
        <w:tc>
          <w:tcPr>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Провайдер</w:t>
            </w:r>
          </w:p>
        </w:tc>
        <w:tc>
          <w:tcPr>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 подключения</w:t>
            </w:r>
          </w:p>
        </w:tc>
        <w:tc>
          <w:tcPr>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Скорость подключения</w:t>
            </w:r>
          </w:p>
        </w:tc>
        <w:tc>
          <w:tcPr>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Стоимость услуги</w:t>
            </w:r>
          </w:p>
        </w:tc>
        <w:tc>
          <w:tcPr>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подключения</w:t>
            </w:r>
          </w:p>
        </w:tc>
      </w:tr>
      <w:tr>
        <w:trPr>
          <w:trHeight w:val="1260" w:hRule="atLeast"/>
        </w:trPr>
        <w:tc>
          <w:tcPr>
            <w:vAlign w:val="top"/>
          </w:tcPr>
          <w:p w:rsidR="00000000" w:rsidDel="00000000" w:rsidP="00000000" w:rsidRDefault="00000000" w:rsidRPr="00000000" w14:paraId="0000004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ООО «Ситилинк»</w:t>
            </w:r>
          </w:p>
          <w:p w:rsidR="00000000" w:rsidDel="00000000" w:rsidP="00000000" w:rsidRDefault="00000000" w:rsidRPr="00000000" w14:paraId="0000004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Договор об оказании услуг связи №110966 от 11.01.2016 г.</w:t>
            </w:r>
          </w:p>
        </w:tc>
        <w:tc>
          <w:tcPr>
            <w:vAlign w:val="top"/>
          </w:tcPr>
          <w:p w:rsidR="00000000" w:rsidDel="00000000" w:rsidP="00000000" w:rsidRDefault="00000000" w:rsidRPr="00000000" w14:paraId="0000005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Мобильный интернет</w:t>
            </w:r>
          </w:p>
        </w:tc>
        <w:tc>
          <w:tcPr>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Мбит/с </w:t>
            </w:r>
          </w:p>
        </w:tc>
        <w:tc>
          <w:tcPr>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2242 руб. в месяц</w:t>
            </w:r>
          </w:p>
        </w:tc>
        <w:tc>
          <w:tcPr>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11.01.2016 г.</w:t>
            </w:r>
          </w:p>
        </w:tc>
      </w:tr>
    </w:tbl>
    <w:p w:rsidR="00000000" w:rsidDel="00000000" w:rsidP="00000000" w:rsidRDefault="00000000" w:rsidRPr="00000000" w14:paraId="00000054">
      <w:pPr>
        <w:keepNext w:val="0"/>
        <w:keepLines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6838"/>
        <w:gridCol w:w="2126"/>
        <w:tblGridChange w:id="0">
          <w:tblGrid>
            <w:gridCol w:w="817"/>
            <w:gridCol w:w="6838"/>
            <w:gridCol w:w="2126"/>
          </w:tblGrid>
        </w:tblGridChange>
      </w:tblGrid>
      <w:tr>
        <w:tc>
          <w:tcPr>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Показатель</w:t>
            </w:r>
          </w:p>
        </w:tc>
        <w:tc>
          <w:tcPr>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Значение</w:t>
            </w:r>
          </w:p>
        </w:tc>
      </w:tr>
      <w:tr>
        <w:tc>
          <w:tcPr>
            <w:vAlign w:val="top"/>
          </w:tcPr>
          <w:p w:rsidR="00000000" w:rsidDel="00000000" w:rsidP="00000000" w:rsidRDefault="00000000" w:rsidRPr="00000000" w14:paraId="0000005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локальной сети в учреждении (да/нет)</w:t>
            </w:r>
          </w:p>
        </w:tc>
        <w:tc>
          <w:tcPr>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vAlign w:val="top"/>
          </w:tcPr>
          <w:p w:rsidR="00000000" w:rsidDel="00000000" w:rsidP="00000000" w:rsidRDefault="00000000" w:rsidRPr="00000000" w14:paraId="0000005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доступа к сети Интернет (да/нет)</w:t>
            </w:r>
          </w:p>
        </w:tc>
        <w:tc>
          <w:tcPr>
            <w:vAlign w:val="top"/>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vAlign w:val="top"/>
          </w:tcPr>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Скорость доступа к сети Интернет</w:t>
            </w:r>
          </w:p>
        </w:tc>
        <w:tc>
          <w:tcPr>
            <w:vAlign w:val="top"/>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100 Мбит/с</w:t>
            </w:r>
          </w:p>
        </w:tc>
      </w:tr>
      <w:tr>
        <w:tc>
          <w:tcPr>
            <w:vAlign w:val="top"/>
          </w:tcPr>
          <w:p w:rsidR="00000000" w:rsidDel="00000000" w:rsidP="00000000" w:rsidRDefault="00000000" w:rsidRPr="00000000" w14:paraId="0000006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компьютерных классов</w:t>
            </w:r>
          </w:p>
        </w:tc>
        <w:tc>
          <w:tcPr>
            <w:vAlign w:val="top"/>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компьютеров в учреждении</w:t>
            </w:r>
          </w:p>
        </w:tc>
        <w:tc>
          <w:tcP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r>
      <w:tr>
        <w:tc>
          <w:tcPr>
            <w:vAlign w:val="top"/>
          </w:tcPr>
          <w:p w:rsidR="00000000" w:rsidDel="00000000" w:rsidP="00000000" w:rsidRDefault="00000000" w:rsidRPr="00000000" w14:paraId="0000006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компьютеров, используемых в учебном процессе (размещенных в учебных кабинетах) </w:t>
            </w:r>
          </w:p>
        </w:tc>
        <w:tc>
          <w:tcPr>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r>
      <w:tr>
        <w:trPr>
          <w:trHeight w:val="400" w:hRule="atLeast"/>
        </w:trPr>
        <w:tc>
          <w:tcPr>
            <w:vAlign w:val="top"/>
          </w:tcPr>
          <w:p w:rsidR="00000000" w:rsidDel="00000000" w:rsidP="00000000" w:rsidRDefault="00000000" w:rsidRPr="00000000" w14:paraId="0000006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используемых в учебном процессе компьютеров, обеспеченных доступом к сети Интернет</w:t>
            </w:r>
          </w:p>
        </w:tc>
        <w:tc>
          <w:tcP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r>
      <w:tr>
        <w:tc>
          <w:tcPr>
            <w:vAlign w:val="top"/>
          </w:tcPr>
          <w:p w:rsidR="00000000" w:rsidDel="00000000" w:rsidP="00000000" w:rsidRDefault="00000000" w:rsidRPr="00000000" w14:paraId="0000006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r>
      <w:tr>
        <w:trPr>
          <w:trHeight w:val="500" w:hRule="atLeast"/>
        </w:trPr>
        <w:tc>
          <w:tcPr>
            <w:vAlign w:val="top"/>
          </w:tcPr>
          <w:p w:rsidR="00000000" w:rsidDel="00000000" w:rsidP="00000000" w:rsidRDefault="00000000" w:rsidRPr="00000000" w14:paraId="0000007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Оснащенность компьютеров лицензионным программным обеспечением (в %)</w:t>
            </w:r>
          </w:p>
        </w:tc>
        <w:tc>
          <w:tcP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07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единиц множительной техники</w:t>
            </w:r>
          </w:p>
        </w:tc>
        <w:tc>
          <w:tcPr>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tc>
      </w:tr>
      <w:tr>
        <w:tc>
          <w:tcPr>
            <w:vAlign w:val="top"/>
          </w:tcPr>
          <w:p w:rsidR="00000000" w:rsidDel="00000000" w:rsidP="00000000" w:rsidRDefault="00000000" w:rsidRPr="00000000" w14:paraId="0000007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Мультимедийный проектор </w:t>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r>
      <w:tr>
        <w:tc>
          <w:tcPr>
            <w:vAlign w:val="top"/>
          </w:tcPr>
          <w:p w:rsidR="00000000" w:rsidDel="00000000" w:rsidP="00000000" w:rsidRDefault="00000000" w:rsidRPr="00000000" w14:paraId="0000007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Интерактивная доска </w:t>
            </w:r>
          </w:p>
        </w:tc>
        <w:tc>
          <w:tcPr>
            <w:vAlign w:val="top"/>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r>
      <w:tr>
        <w:tc>
          <w:tcPr>
            <w:vAlign w:val="top"/>
          </w:tcPr>
          <w:p w:rsidR="00000000" w:rsidDel="00000000" w:rsidP="00000000" w:rsidRDefault="00000000" w:rsidRPr="00000000" w14:paraId="0000007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Документ-камера</w:t>
            </w:r>
          </w:p>
        </w:tc>
        <w:tc>
          <w:tcPr>
            <w:vAlign w:val="top"/>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pos="145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Образовательное учреждение создает условия, гарантирующие охрану и укрепление здоровья обучающихся:</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социальные, экономические и экологические условия окружающей действительности; </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учитывает факторы риска, имеющие место в образовательном учреждении, которые приводят к ухудшению здоровья обучающихся;</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учитывает фактор негативного популяционного сдвига в здоровье обучающихся;</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опирается на систему знаний, установок, привычек, формируемых у обучающихся в процессе обучения, правил поведения. </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Особенности отношения обучающихся к своему здоровью существенно отличаются от такового у взрослых, т.к. отсутствует опыт «нездоровья» (за исключением детей с хроническими заболеваниями), затруднен прогноз последствия своего отношения к здоровью. Обеспечение охраны здоровья обучающихся проходит по семи направлениям:</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Целостность системы формирования культуры здорового образа жизни обучающихся. </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уставе и локальных актах отражена системная деятельности по формированию культуры здорового образа жизни, обеспечивающая сохранение и укрепление здоровья В частности направление воспитательной работы на воспитание физической культуры, готовности к самостоятельному выбору здорового образа жизни. Основные задачи данного направления: </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у обучающихся ценностного отношения к здоровью, системы знаний, навыков и личного опыта, позволяющих сознательно вести здоровый образ жизни; </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создание условий для активизации субъектной позиции обучающегося в реализации норм здорового образа жизни, формирование культуры здоровья, готовности поддерживать здоровье в оптимальном состоянии, воспитание умения выработать индивидуальную программу охраны здоровья, потребности в знаниях о физической культуре и спорте. </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Средством реализации данного направления являются следующие мероприятия и творческие дела: туристические походы, спортивные турниры, эстафеты, спортивные перемены, физкультминутки на уроках, проведение дней здоровья. В школе организовано взаимодействие с правоохранительными органами, учреждениями дополнительного образования, культуры, физической культуры и спорта, здравоохранения. </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Соответствие инфраструктуры образовательного учреждения условиям здоровьесбережения обучающихся.</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буфета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 – гигиенических правил для освоения основных и дополнительных образовательных программ. Так как школа находится в шаговой доступности к пункту оказания первой медицинской помощи, в школе нет постоянного медицинского работника. Профилактические мероприятия различной направленности, иммунизация, первичная диагностика заболеваний происходит благодаря приглашению специалистов здравоохранения в школу. В школе работают квалифицированные специалисты, обеспечивающие проведение оздоровительной работы с обучающимися: преподаватели физической культуры, педагоги дополнительного образования, социальный педагог, тьюторы.</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Школа организовывает взаимодействие с организациями по физической культуре и спорту. В школе работает библиотека, в фондах которой имеется научно-публицистическая, научно-методическая, художественная литература по вопросам здоровьесбережения. </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Организация профилактики употребления психоактивных веществ обучающимися.</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безопасной поддерживающей среды в ОУ: благоприятный психологический климат, участие школьников в проектах по профилактике ПАВ. Реализация программ по профилактике различных видов зависимостей, в том числе программ и методик, направленных на формирование законопослушного поведения обучающихся: «Полезные привычки. Полезные навыки. Полезный выбор»; «Свободный»; «Разговор о правильном питании». А также в школе в системе проходят тематические мероприятия, классные часы, анкетирование по выявлению факторов риска распространения ПАВ и его оценка. </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Комплексное сопровождение системы формирования культуры здорового и безопасного образа жизни обучающихся.</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Использование в повседневной воспитательной работе рекомендованных и утвержденных методов профилактики заболеваний. Организация качественного горячего питания обучающихся в соответствии с требованиями санитарных правил. Все обучающиеся школы обеспечиваются организованным горячим питанием, а также реализуются готовые блюда и буфетная продукция в достаточном ассортименте за наличный расчёт. При формировании рациона питания обучающихся в приготовлении пищи соблюдаются основные принципы организации рационального, сбалансированного, щадящего питания, предусматривающего: </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соответствие энергетической ценности рациона возрастными и физиологическими потребностями обучающихся; </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в рационе сбалансированности основных пищевых веществ в граммах; </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восполнение дефицита витаминов и других микроэлементов в питании обучающихся за счёт корректировки рецептур и использовании обогащённых продуктов; </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технологическая обработка продуктов, обеспечивающая вкусовые качества кулинарной продукции и сохранность пищевой ценности; </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соблюдение оптимального режима питания и распределения суточного рациона по отдельным приёмам пищи в течение дня. </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Организацией питания в школе занимается фирма ООО «Эталон», выигравшая аукцион на организацию питания. Медицинское обслуживание обучающихся осуществляет МУЗ «Кондопожская ЦРБ».</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разработан Паспорт безопасности.</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Два раза в год проводятся:</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Ежегодно проводятся:</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начиная с 1 класса ежегодно проводятся школьные соревнования по ПДД;</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-практические занятия по использованию средств индивидуальной защиты;</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Условия для коллективной и индивидуальной работы с обучающимися.</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0"/>
        <w:gridCol w:w="6497"/>
        <w:tblGridChange w:id="0">
          <w:tblGrid>
            <w:gridCol w:w="3250"/>
            <w:gridCol w:w="6497"/>
          </w:tblGrid>
        </w:tblGridChange>
      </w:tblGrid>
      <w:tr>
        <w:tc>
          <w:tcPr>
            <w:vAlign w:val="top"/>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Показатель</w:t>
            </w:r>
            <w:r w:rsidDel="00000000" w:rsidR="00000000" w:rsidRPr="00000000">
              <w:rPr>
                <w:rtl w:val="0"/>
              </w:rPr>
            </w:r>
          </w:p>
        </w:tc>
        <w:tc>
          <w:tcPr>
            <w:vAlign w:val="top"/>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Наличие в учреждении</w:t>
            </w:r>
            <w:r w:rsidDel="00000000" w:rsidR="00000000" w:rsidRPr="00000000">
              <w:rPr>
                <w:rtl w:val="0"/>
              </w:rPr>
            </w:r>
          </w:p>
        </w:tc>
      </w:tr>
      <w:tr>
        <w:tc>
          <w:tcPr>
            <w:vAlign w:val="top"/>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сайте ОО размещены и доступны для обучающихся и родителей расписания консультаций и  индивидуальных занятий по предметам с указанием педагога, места, времени проведения</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Расписания  консультаций и  индивидуальных занятий по предметам с указанием педагога, места, времени проведения размещены на сайте школы, на стенде «Расписание» на 1 этаже, в приемной  и в методических кабинетах.</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кабинетов  для проведения консультаций, индивидуальных занятий с выходом в сеть Интернет  </w:t>
            </w:r>
          </w:p>
        </w:tc>
        <w:tc>
          <w:tcPr>
            <w:vAlign w:val="top"/>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все учебные кабинеты оснащены  выходом в сеть Интернет, соединены локальной сетью. Имеется два методических кабинета,  кабинеты учителя-логопеда и педагога-психолога с выходом в сеть Интернет, где оборудованы рабочие места для индивидуальных занятий, проведения консультаций педагогов. </w:t>
            </w:r>
          </w:p>
        </w:tc>
      </w:tr>
      <w:tr>
        <w:tc>
          <w:tcPr>
            <w:vAlign w:val="top"/>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и доступность необходимого учебного оборудования, учебно-методического  и справочного материала (печатного, электронного) для проведения консультаций, индивидуальных и групповых занятий </w:t>
            </w:r>
          </w:p>
        </w:tc>
        <w:tc>
          <w:tcPr>
            <w:vAlign w:val="top"/>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учебных кабинетах имеются в наличии и систематизированы необходимое  учебное оборудование, дидактические и справочного материалы для проведения консультаций и  индивидуальных занятий.</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в ОО дополнительного дистанционного обучения для  детей-инвалидов</w:t>
            </w:r>
          </w:p>
        </w:tc>
        <w:tc>
          <w:tcPr>
            <w:vAlign w:val="top"/>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кабинете информатики для учителей оборудовано рабочее место для организации дистанционного обучения с детьми-инвалидами. Педагоги составили расписание занятий с этими детьми (их 4 человека). У каждого ребенка дома оборудовано место для занятий, с родителями заключены договоры о предоставлении оборудования и образовательных услуг, в наличии имеются лицензионные программы по выбранным детьми и их родителями предметам.</w:t>
            </w:r>
          </w:p>
        </w:tc>
      </w:tr>
      <w:tr>
        <w:tc>
          <w:tcPr>
            <w:vAlign w:val="top"/>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в образовательном процессе электронного обучения, в том числе с привлечением ресурсов в сети Интернет</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Учебные кабинеты оснащены стационарными</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компьютерами и интерактивными досками, что позволяет</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в коррекционной работе лицензионные</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компьютерные программы, мультимедийные презентации, </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игротеки, виртуальные экскурсии. Используются </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электронные образовательные ресурсы с интернет сайтов,  </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ведется консультативная работа на сайте школы. </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работе администрации, педагогов школы, обучающихся и</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их родителей  широко используется проект  «Дневник.ру». </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 позволяет получить доступ к передовым технологиям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автоматизации учебного процесса, инструментам онлайн – </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образования и современным способам общения с </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родителями и обучающимися.</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c>
      </w:tr>
      <w:tr>
        <w:tc>
          <w:tcPr>
            <w:vAlign w:val="top"/>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индивидуальных программ обучающихся</w:t>
            </w:r>
          </w:p>
        </w:tc>
        <w:tc>
          <w:tcPr>
            <w:vAlign w:val="top"/>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детей с ОВЗ составляется  индивидуальный образовательный маршрут (долее ИОМ). ИОМ – это интегрированная модель психолого-педагогического пространства,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  ИОМ предполагает постепенное включение ребенка в коллектив сверстников. Форма ИОМ представлена в Положении о ППК моу «СОШ № 2».</w:t>
            </w:r>
          </w:p>
        </w:tc>
      </w:tr>
    </w:tbl>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При собеседовании с учителями было установлено, что учебно-методическое обеспечение, наличие дидактического материала соответствует требованиям программ по каждому учебному предмету.</w:t>
      </w: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Индивидуальная работа с учащимися отнимает достаточно много времени для его организации, проведения, но результат стоит того. Зная своих учеников, учитель может подобрать соответствующие задания, форму проведения уроков, внеклассные занятия.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Для обучающихся повышенного уровня учебно-познавательной деятельности созданы условия для индивидуальной работы, обеспечивающие необходимое качество изучаемого материала. Все обучающиеся имеют возможность свободно посещать читальный зал, работать в сети Интернет. При проведении дополнительных занятий формы работы, в основном, индивидуализированы, практикуются дополнительные задания повышенной сложности. Большинство обучающихся участвует в исследовательской работе.</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созданы   специальные условия обучения и воспитания детей с ОВЗ:</w:t>
      </w:r>
    </w:p>
    <w:tbl>
      <w:tblPr>
        <w:tblStyle w:val="Table5"/>
        <w:tblW w:w="9435.0" w:type="dxa"/>
        <w:jc w:val="left"/>
        <w:tblInd w:w="98.0" w:type="dxa"/>
        <w:tblLayout w:type="fixed"/>
        <w:tblLook w:val="0000"/>
      </w:tblPr>
      <w:tblGrid>
        <w:gridCol w:w="577"/>
        <w:gridCol w:w="7655"/>
        <w:gridCol w:w="1203"/>
        <w:tblGridChange w:id="0">
          <w:tblGrid>
            <w:gridCol w:w="577"/>
            <w:gridCol w:w="7655"/>
            <w:gridCol w:w="1203"/>
          </w:tblGrid>
        </w:tblGridChange>
      </w:tblGrid>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Специальные условия для получения образования обучающимися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условий</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Адаптированные образовательные программы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Специальные учебники, учебные пособия и дидактические материалы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педагогических работников, владеющими специальными педагогическими подходами и методами обучения и воспитания обучающихся с ОВЗ</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ассистентов (тьюторы), оказывающего обучающимся необходимую техническую помощь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безбарьерной среды (адаптация зданий, помещений организации и прилегающих к ней территорий для свободного (беспрепятственного) доступа всех обучающихся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групповых и индивидуальных коррекционных занятий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left" w:pos="145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Учебно-методическое обеспечение, в т.ч. для участников образовательных отношений  с ограниченными возможностями здоровья и инвалидностью.</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целях качественного обеспечения содержания образования, полной реализации федерального государственного образовательного стандарта и обеспечения равного доступа к качественному образованию,  постоянно совершенствуется учебно-методическая база школы. Ежегодно за счёт средств субвенций Республики Карелия школа приобретает новые учебники, учебники  с электронными приложениями. Учителя при проведении занятий используют печатные и электронные образовательные ресурсы, в том числе размещенные в федеральных и региональных базах данных ЭОР. Все учащиеся школы на 100 % обеспечены бесплатными учебниками.</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8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06"/>
        <w:gridCol w:w="1686"/>
        <w:tblGridChange w:id="0">
          <w:tblGrid>
            <w:gridCol w:w="7106"/>
            <w:gridCol w:w="1686"/>
          </w:tblGrid>
        </w:tblGridChange>
      </w:tblGrid>
      <w:tr>
        <w:tc>
          <w:tcPr>
            <w:tcBorders>
              <w:top w:color="000000" w:space="0" w:sz="4" w:val="single"/>
            </w:tcBorders>
            <w:vAlign w:val="cente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Библиотечный фонд</w:t>
            </w:r>
          </w:p>
        </w:tc>
        <w:tc>
          <w:tcPr>
            <w:tcBorders>
              <w:top w:color="000000" w:space="0" w:sz="4" w:val="single"/>
            </w:tcBorders>
            <w:vAlign w:val="cente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4" w:right="0" w:firstLine="11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 оснащенности</w:t>
            </w:r>
          </w:p>
        </w:tc>
      </w:tr>
      <w:tr>
        <w:trPr>
          <w:trHeight w:val="280" w:hRule="atLeast"/>
        </w:trPr>
        <w:tc>
          <w:tcPr>
            <w:vAlign w:val="top"/>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электронные  образовательные ресурсы по всем учебным предметам учебного плана </w:t>
            </w:r>
          </w:p>
        </w:tc>
        <w:tc>
          <w:tcPr>
            <w:vAlign w:val="top"/>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w:t>
            </w:r>
          </w:p>
        </w:tc>
      </w:tr>
      <w:tr>
        <w:trPr>
          <w:trHeight w:val="280" w:hRule="atLeast"/>
        </w:trPr>
        <w:tc>
          <w:tcPr>
            <w:vAlign w:val="top"/>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художественная и научно-популярная  литература </w:t>
            </w:r>
          </w:p>
        </w:tc>
        <w:tc>
          <w:tcPr>
            <w:vAlign w:val="top"/>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13421 шт.</w:t>
            </w:r>
          </w:p>
        </w:tc>
      </w:tr>
      <w:tr>
        <w:trPr>
          <w:trHeight w:val="280" w:hRule="atLeast"/>
        </w:trPr>
        <w:tc>
          <w:tcPr>
            <w:vAlign w:val="top"/>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справочно-библиографические издания</w:t>
            </w:r>
          </w:p>
        </w:tc>
        <w:tc>
          <w:tcPr>
            <w:vAlign w:val="top"/>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2565 шт.</w:t>
            </w:r>
          </w:p>
        </w:tc>
      </w:tr>
      <w:tr>
        <w:trPr>
          <w:trHeight w:val="280" w:hRule="atLeast"/>
        </w:trPr>
        <w:tc>
          <w:tcPr>
            <w:vAlign w:val="top"/>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методическая литература </w:t>
            </w:r>
          </w:p>
        </w:tc>
        <w:tc>
          <w:tcPr>
            <w:vAlign w:val="top"/>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3700 шт.</w:t>
            </w:r>
          </w:p>
        </w:tc>
      </w:tr>
    </w:tbl>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 xml:space="preserve">Библиотечно-информационное   и научно-методическое обеспечение, в т.ч. для участников образовательных отношений  с ограниченными возможностями здоровья и инвалидностью</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tbl>
      <w:tblPr>
        <w:tblStyle w:val="Table7"/>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36"/>
        <w:gridCol w:w="2836"/>
        <w:tblGridChange w:id="0">
          <w:tblGrid>
            <w:gridCol w:w="6236"/>
            <w:gridCol w:w="2836"/>
          </w:tblGrid>
        </w:tblGridChange>
      </w:tblGrid>
      <w:tr>
        <w:tc>
          <w:tcPr>
            <w:vAlign w:val="top"/>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Учебная, учебно-методическая литература и иные библиотечно-информационные ресурсы</w:t>
            </w:r>
          </w:p>
        </w:tc>
        <w:tc>
          <w:tcPr>
            <w:vAlign w:val="top"/>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Фактический показатель</w:t>
            </w:r>
          </w:p>
        </w:tc>
      </w:tr>
      <w:tr>
        <w:tc>
          <w:tcP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vAlign w:val="top"/>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Обеспеченность учебными пособиями основных образовательных программ</w:t>
            </w:r>
          </w:p>
        </w:tc>
        <w:tc>
          <w:tcPr>
            <w:vAlign w:val="top"/>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НОО – 100%; </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ООО – 100%;</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СОО – 100%.</w:t>
            </w:r>
          </w:p>
        </w:tc>
      </w:tr>
      <w:tr>
        <w:tc>
          <w:tcPr>
            <w:vAlign w:val="top"/>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т.ч.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vAlign w:val="top"/>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интерактивного электронного контента по всем учебным предметам;</w:t>
            </w:r>
          </w:p>
        </w:tc>
        <w:tc>
          <w:tcPr>
            <w:vAlign w:val="top"/>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Обеспеченность справочно-библиографическими пособиями</w:t>
            </w:r>
          </w:p>
        </w:tc>
        <w:tc>
          <w:tcPr>
            <w:vAlign w:val="top"/>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Обеспеченность художественной литературой</w:t>
            </w:r>
          </w:p>
        </w:tc>
        <w:tc>
          <w:tcPr>
            <w:vAlign w:val="top"/>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Библиотечные печатные  ресурсы организации </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повышения качества и эффективности оказания услуг.</w:t>
      </w:r>
    </w:p>
    <w:tbl>
      <w:tblPr>
        <w:tblStyle w:val="Table8"/>
        <w:tblW w:w="8647.0" w:type="dxa"/>
        <w:jc w:val="left"/>
        <w:tblInd w:w="0.0" w:type="dxa"/>
        <w:tblLayout w:type="fixed"/>
        <w:tblLook w:val="0000"/>
      </w:tblPr>
      <w:tblGrid>
        <w:gridCol w:w="1134"/>
        <w:gridCol w:w="1559"/>
        <w:gridCol w:w="1985"/>
        <w:gridCol w:w="2551"/>
        <w:gridCol w:w="1418"/>
        <w:tblGridChange w:id="0">
          <w:tblGrid>
            <w:gridCol w:w="1134"/>
            <w:gridCol w:w="1559"/>
            <w:gridCol w:w="1985"/>
            <w:gridCol w:w="2551"/>
            <w:gridCol w:w="1418"/>
          </w:tblGrid>
        </w:tblGridChange>
      </w:tblGrid>
      <w:tr>
        <w:trPr>
          <w:trHeight w:val="106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Классы</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Библиотечный фонд учебников</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(кол-во)</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 (ОВЗ)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 (ОВЗ)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 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 (ОВЗ)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855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655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1050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1050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ff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r w:rsidDel="00000000" w:rsidR="00000000" w:rsidRPr="00000000">
              <w:rPr>
                <w:rtl w:val="0"/>
              </w:rPr>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1105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1105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bl>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Библиотечные печатные  ресурсы организации для повышения качества и эффективности оказания услуг для  участников образовательных отношений с инвалидностью и ограниченными возможностями здоровья.</w:t>
      </w:r>
    </w:p>
    <w:tbl>
      <w:tblPr>
        <w:tblStyle w:val="Table9"/>
        <w:tblW w:w="8545.0" w:type="dxa"/>
        <w:jc w:val="left"/>
        <w:tblInd w:w="0.0" w:type="dxa"/>
        <w:tblLayout w:type="fixed"/>
        <w:tblLook w:val="0000"/>
      </w:tblPr>
      <w:tblGrid>
        <w:gridCol w:w="1316"/>
        <w:gridCol w:w="1559"/>
        <w:gridCol w:w="1985"/>
        <w:gridCol w:w="2410"/>
        <w:gridCol w:w="1275"/>
        <w:tblGridChange w:id="0">
          <w:tblGrid>
            <w:gridCol w:w="1316"/>
            <w:gridCol w:w="1559"/>
            <w:gridCol w:w="1985"/>
            <w:gridCol w:w="2410"/>
            <w:gridCol w:w="1275"/>
          </w:tblGrid>
        </w:tblGridChange>
      </w:tblGrid>
      <w:tr>
        <w:trPr>
          <w:trHeight w:val="6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Классы</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Библиотечный фонд учебников</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(кол-во)</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bl>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40.0" w:type="dxa"/>
        <w:bottom w:w="0.0" w:type="dxa"/>
        <w:right w:w="40.0" w:type="dxa"/>
      </w:tblCellMar>
    </w:tblPr>
  </w:style>
  <w:style w:type="table" w:styleId="Table9">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