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right"/>
        <w:rPr>
          <w:rFonts w:ascii="Times New Roman" w:cs="Times New Roman" w:eastAsia="Times New Roman" w:hAnsi="Times New Roman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ab/>
        <w:tab/>
        <w:tab/>
        <w:tab/>
        <w:tab/>
        <w:tab/>
        <w:tab/>
        <w:tab/>
        <w:tab/>
        <w:t xml:space="preserve">Утверждаю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right"/>
        <w:rPr>
          <w:rFonts w:ascii="Times New Roman" w:cs="Times New Roman" w:eastAsia="Times New Roman" w:hAnsi="Times New Roman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vertAlign w:val="baseline"/>
          <w:rtl w:val="0"/>
        </w:rPr>
        <w:t xml:space="preserve">Директор МОУ «СОШ № 2»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right"/>
        <w:rPr>
          <w:rFonts w:ascii="Times New Roman" w:cs="Times New Roman" w:eastAsia="Times New Roman" w:hAnsi="Times New Roman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vertAlign w:val="baseline"/>
          <w:rtl w:val="0"/>
        </w:rPr>
        <w:t xml:space="preserve">                                                                                                   ____________ /С.Н.Якимова/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vertAlign w:val="baseline"/>
          <w:rtl w:val="0"/>
        </w:rPr>
        <w:t xml:space="preserve">                                                                                                                  «___»___________  2014 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right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ПОЛОЖЕНИЕ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об эффективном контракте с педагогическими работниками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Основания (нормативная база)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firstLine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Введение эффективного контракта в Муниципальном общеобразовательном учреждении «Средняя общеобразовательная школа № 2  г.Кондопоги» определено: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1.  Указом Президента РФ от 7 мая 2012 г. № 597 «О мероприятиях по реализации государственной социальной политики»;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 Государственной программой Российской Федерации «Развитие образования» на 2013-2020 годы, утвержденной распоряжением Правительства РФ  от 15.05.2013 г. № 792-р;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3. Программой поэтапного совершенствования системы оплаты труда  в государственных (муниципальных) учреждениях на 2012 — 2018 годы,  утв.  распоряжением Правительства РФ от 26.11. 2012 г. № 2190-р (далее — Программа);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4.   Приказом Минтруда России №167н от 26 апреля 2013 г. «Об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контракта» (далее — Рекомендации);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5.  Письмом Минобрнауки России от 12 сентября 2013 года № НТ-883/17 «О реализации части 11 статьи 108 Федерального закона от 29 декабря 2012 г. № 273-ФЗ «Об образовании в Российской Федерации»» (далее — Письмо).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6.Показателями эффективности деятельности подведомственных государственных, муниципальных учреждений образования, утвержденными органами местного самоуправления.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Цель введения эффективного контракта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firstLine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Увязка повышения оплаты труда с достижением конкретных показателей качества оказываемых муниципальных услуг на основе: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введения взаимоувязанной системы отраслевых показателей эффективности;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установления соответствующих показателям  эффективности стимулирующих выплат, критериев и условий их назначения с отражением в примерных положениях об оплате труда работников учреждений, коллективных договорах, трудовых договорах;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отмены неэффективных стимулирующих выплат;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использования при оценке достижения конкретных показателей качества и количества оказываемых муниципальных услуг (выполнения работ) независимой системы оценки качества работы учреждений, включающей кроме критериев эффективности их работы и введение публичных рейтингов их деятельности.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Что такое эффективный контракт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firstLine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Переход на эффективный контракт с педагогами  предопределен  государственной программой РФ «Развитие образования» на 2013–2020 годы, утвержденной распоряжением Правительства РФ от 15.05.2013 г. № 792-р.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Определение эффективного контракта дано в Программе поэтапного совершенствования системы оплаты труда  в государственных (муниципальных) учреждениях на 2012 — 2018 годы,  утвержденной  распоряжением Правительства РФ от 26.11. 2012 г. № 2190-р: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«Под эффективным контрактом понимается трудовой договор с работником, в котором конкретизированы его трудовые обязанности, условия оплаты труда, показатели и критерии оценки эффективности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поддержки».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Эффективный контракт в полной мере соответствует статье 57 Трудового кодекса РФ и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не является новой правовой формой трудового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В эффективном контракте в отношении каждого работника должны быть уточнены и конкретизированы: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1.Трудовая функция;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2.Показатели и критерии оценки эффективности деятельности;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3. Размер  и условия стимулирующих выплат,  определенные с учетом рекомендуемых показателей.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При этом условия получения вознаграждения должны быть понятны работодателю и работнику и не допускать двойного толкования. Непосредственно в тексте трудового договора должностные обязанности работника должны быть отражены с учетом действующих обязанностей, установленных должностной инструкцией.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Обязательными условиями, включаемыми в трудовые договоры, являются также  условия оплаты труда (в том числе размер тарифной ставки или оклада (должностного оклада) работника, доплаты, надбавки и поощрительные выплаты). Эффективный контракт предполагает также установление норм труда.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Эффективный контракт должен обеспечивать такой уровень зарплаты педагогического работника, который является конкурентоспособным с другими секторами экономики.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Эффективный контракт – это достойная оплата за качественный труд.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Изменения определенных сторонами условий трудового договора согласно статье 72 ТК РФ допускаются только по соглашению сторон трудового договора, за исключением случаев, предусмотренных ТК РФ, и не должны ухудшать положение работника по сравнению с установленным коллективным договором, соглашениями.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О стимулирующих и компенсационных выплатах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Приказом Минтруда России №167н от 26 апреля 2013 г. в системах оплаты труда, трудовых договорах и дополнительных соглашениях к трудовым договорам с работниками учреждений рекомендуется использовать следующие выплаты стимулирующего и компенсационного характера: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а)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выплаты за интенсивность и высокие результаты работы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надбавка за интенсивность труда;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премия за высокие результаты работы;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премия за выполнение особо важных и ответственных работ;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б)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выплаты за качество выполняемых работ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надбавка за наличие квалификационной категории;</w:t>
      </w:r>
    </w:p>
    <w:p w:rsidR="00000000" w:rsidDel="00000000" w:rsidP="00000000" w:rsidRDefault="00000000" w:rsidRPr="00000000" w14:paraId="0000003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премия за образцовое выполнение муниципального задания;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в)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выплаты за стаж непрерывной работы, выслугу лет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надбавка за выслугу лет;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надбавка за стаж непрерывной работы;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г)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премиальные выплаты по итогам работы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премия по итогам работы за месяц;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премия по итогам работы за квартал;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премия по итогам работы за год;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д)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выплаты работникам, занятым на тяжелых работах, работах с вредными и (или) опасными и иными особыми условиями труда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е)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выплаты за работу в условиях, отклоняющихся от нормальных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 (при выполнении работ различной квалификации, совмещении профессий (должностей), расширении зон обслуживания, увеличении объема выполняемых работ, сверхурочной работе, работе в ночное время и при выполнении работ в других условиях, отклоняющихся от нормальных):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доплата за совмещение профессий (должностей);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доплата за расширение зон обслуживания;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доплата за увеличение объема работы;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доплата за выполнение работ различной квалификации;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доплата за работу в ночное время;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ж)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надбавка за работу со сведениями, составляющими государственную тайну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, их засекречиванием и рассекречиванием, а также за работу с шифрами.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Могут быть предусмотрены другие выплаты компенсационного и стимулирующего характера в соответствии с трудовым законодательством, иными нормативными правовыми актами, содержащими нормы трудового права, а также коллективным договором и соглашениями.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 трудовом договоре или дополнительном соглашении к трудовому договору условия осуществления выплат рекомендуется конкретизировать применительно к данному работнику учреждения.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Алгоритм введения эффективного контракта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1.Ведение эффективного контракта с педагогом в образовательной организации предполагает осуществление определенной организационной и административной работы: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Проведение  разъяснительной работы в педагогическом коллективе  по вопросам введения эффективного контракта педагога.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Создание в образовательной организации комиссии по проведению работы, связанной с введением эффективного контракта педагога.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Анализ действующих трудовых договоров работников на предмет их соответствия ст. 57 Трудового кодекса РФ и приказу Минтруда России от 24.04.2013 № 167н «Об утверждении рекомендаций по оформлению трудовых отношений с работником муниципального учреждения при введении эффективного контракта».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Разработка показателей эффективности труда педагогических работников.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Разработка и внесение изменений в такие локальные акты образовательной организации как коллективный договор, правила внутреннего трудового распорядка,  положение об оплате труда, положение о выплатах стимулирующего характера с учетом разработанных показателей.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Принятие локальных нормативных актов, связанных с оплатой труда работника, с учетом мнения первичной профсоюзной организации.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Конкретизация  трудовой функции и условий оплаты труда педагогических работников.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Подготовка и внесение изменений в трудовые договоры работников.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Уведомление  педагогических работников об изменении определенных условий трудового договора в письменной форме не менее чем за два месяца согласно ст.74 Трудового кодекса РФ.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Работа по введению эффективного контракта должна проводиться в обстановке гласности и обсуждения в трудовом коллективе.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 Оформление трудовых отношений при введении эффективного контракта осуществляется: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при приеме  на работу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 работник и работодатель заключают трудовой договор в соответствии с ТК РФ. При этом используется примерная форма трудового договора с работником учреждения, приведенная в приложении № 3 к Программе;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с работниками, состоящими в трудовых отношениях с работодателем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, оформление осуществляется путем заключения дополнительного соглашения к трудовому договору в порядке, установленном  ТК РФ. При этом  требуется предупреждение работника об изменении условий трудового договора  в письменном виде не менее, чем за 2 месяца (статья 74 ТК РФ).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 соответствии со статьей 72 Трудового кодекса Российской Федерации  трудовой договор, соглашение об изменении определенных сторонами условий трудового договора заключаются в письменной форме в двух экземплярах, один из которых вручается работнику под роспись на экземпляре, хранящемся у работодателя.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Дополнительное соглашение к трудовому договору  заключается по мере разработки показателей и критериев оценки эффективности труда работников учреждения  для определения размеров и условий осуществления стимулирующих выплат.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 соответствии с Программой завершение работы по заключению трудовых договоров с работниками в связи с введением эффективного контракта предполагается на третьем  этапе, охватывающем  2016-2018 годы.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Что даёт введение эффективного контракта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Как сказано в Программе, ее реализация позволит:</w:t>
      </w:r>
    </w:p>
    <w:p w:rsidR="00000000" w:rsidDel="00000000" w:rsidP="00000000" w:rsidRDefault="00000000" w:rsidRPr="00000000" w14:paraId="0000005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повысить престижность и привлекательность профессий работников, участвующих в оказании муниципальных услуг (выполнении работ);</w:t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внедрить в учреждениях системы оплаты труда работников, увязанные с качеством оказания муниципальных услуг (выполнения работ);</w:t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повысить уровень квалификации работников, участвующих в оказании муниципальных услуг (выполнении работ);</w:t>
      </w:r>
    </w:p>
    <w:p w:rsidR="00000000" w:rsidDel="00000000" w:rsidP="00000000" w:rsidRDefault="00000000" w:rsidRPr="00000000" w14:paraId="0000006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повысить качество оказания муниципальных услуг (выполнения работ) в социальной сфере;</w:t>
      </w:r>
    </w:p>
    <w:p w:rsidR="00000000" w:rsidDel="00000000" w:rsidP="00000000" w:rsidRDefault="00000000" w:rsidRPr="00000000" w14:paraId="0000006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hanging="360"/>
        <w:jc w:val="both"/>
        <w:rPr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создать прозрачный механизм оплаты труда руководителей учреждений.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Трудовой договор с  руководителем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 соответствии с федеральным законом от 29 декабря 2012 г. № 280-ФЗ статья 275 Трудового кодекса РФ дополнена положением, согласно которому трудовой договор с руководителем муниципального учреждения заключается на основе типовой формы трудового договора, утверждённой Правительством Российской Федерации с учётом мнения Российской трёхсторонней комиссии по регулированию социально-трудовых отношений.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В настоящее время типовая форма такого трудового договора утверждена Постановлением Правительства РФ от 12 апреля 2013 г. № 329 «О типовой форме трудового договора с руководителями муниципального учреждения».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Трудовой договор на основе типовой формы заключается с лицом, претендующим на замещение должности руководителя муниципального учреждения.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45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С теми руководителями, которые уже состоят в трудовых отношениях, либо заключается дополнительное соглашение к действующему трудовому договору, либо по соглашению сторон подписывается новый трудовой договор на основе типовой формы, утвержденной Постановлением Правительства РФ от 12 апреля 2013 г. № 329.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1134" w:left="1134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cs="Arial" w:eastAsia="Arial" w:hAnsi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cs="Arial" w:eastAsia="Arial" w:hAnsi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cs="Arial" w:eastAsia="Arial" w:hAnsi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cs="Arial" w:eastAsia="Arial" w:hAnsi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cs="Arial" w:eastAsia="Arial" w:hAnsi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cs="Arial" w:eastAsia="Arial" w:hAnsi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cs="Arial" w:eastAsia="Arial" w:hAnsi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cs="Arial" w:eastAsia="Arial" w:hAnsi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cs="Arial" w:eastAsia="Arial" w:hAnsi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cs="Arial" w:eastAsia="Arial" w:hAnsi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cs="Arial" w:eastAsia="Arial" w:hAnsi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cs="Arial" w:eastAsia="Arial" w:hAnsi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sz w:val="20"/>
        <w:szCs w:val="20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81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70" w:hanging="180"/>
      </w:pPr>
      <w:rPr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cs="Arial" w:eastAsia="Arial" w:hAnsi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cs="Arial" w:eastAsia="Arial" w:hAnsi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cs="Arial" w:eastAsia="Arial" w:hAnsi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cs="Arial" w:eastAsia="Arial" w:hAnsi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sz w:val="20"/>
        <w:szCs w:val="20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cs="Arial" w:eastAsia="Arial" w:hAnsi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cs="Arial" w:eastAsia="Arial" w:hAnsi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cs="Arial" w:eastAsia="Arial" w:hAnsi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cs="Arial" w:eastAsia="Arial" w:hAnsi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sz w:val="20"/>
        <w:szCs w:val="20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cs="Arial" w:eastAsia="Arial" w:hAnsi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cs="Arial" w:eastAsia="Arial" w:hAnsi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cs="Arial" w:eastAsia="Arial" w:hAnsi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cs="Arial" w:eastAsia="Arial" w:hAnsi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sz w:val="20"/>
        <w:szCs w:val="20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cs="Arial" w:eastAsia="Arial" w:hAnsi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cs="Arial" w:eastAsia="Arial" w:hAnsi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cs="Arial" w:eastAsia="Arial" w:hAnsi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cs="Arial" w:eastAsia="Arial" w:hAnsi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sz w:val="20"/>
        <w:szCs w:val="20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cs="Arial" w:eastAsia="Arial" w:hAnsi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cs="Arial" w:eastAsia="Arial" w:hAnsi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cs="Arial" w:eastAsia="Arial" w:hAnsi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cs="Arial" w:eastAsia="Arial" w:hAnsi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sz w:val="20"/>
        <w:szCs w:val="20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cs="Arial" w:eastAsia="Arial" w:hAnsi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cs="Arial" w:eastAsia="Arial" w:hAnsi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cs="Arial" w:eastAsia="Arial" w:hAnsi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cs="Arial" w:eastAsia="Arial" w:hAnsi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sz w:val="20"/>
        <w:szCs w:val="20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